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345A1" w14:textId="2F8AF005" w:rsidR="00D662A7" w:rsidRPr="00462AC0" w:rsidRDefault="001268A9" w:rsidP="00A61BF3">
      <w:pPr>
        <w:pStyle w:val="Kop1"/>
        <w:rPr>
          <w:lang w:val="en-GB"/>
        </w:rPr>
      </w:pPr>
      <w:r w:rsidRPr="00462AC0">
        <w:rPr>
          <w:lang w:val="en-GB"/>
        </w:rPr>
        <w:t xml:space="preserve">FAQ policy framework </w:t>
      </w:r>
      <w:r w:rsidR="00AE0AC0">
        <w:rPr>
          <w:lang w:val="en-GB"/>
        </w:rPr>
        <w:t>open access</w:t>
      </w:r>
      <w:r w:rsidRPr="00462AC0">
        <w:rPr>
          <w:lang w:val="en-GB"/>
        </w:rPr>
        <w:t xml:space="preserve"> (OA) at NWO-I</w:t>
      </w:r>
    </w:p>
    <w:p w14:paraId="1DBE9CE5" w14:textId="3495ACC6" w:rsidR="00A61BF3" w:rsidRPr="00462AC0" w:rsidRDefault="00A61BF3">
      <w:pPr>
        <w:rPr>
          <w:lang w:val="en-GB"/>
        </w:rPr>
      </w:pPr>
    </w:p>
    <w:p w14:paraId="7830BB86" w14:textId="6DF3C2E7" w:rsidR="00FC2D6C" w:rsidRPr="00462AC0" w:rsidRDefault="001268A9" w:rsidP="00FC2D6C">
      <w:pPr>
        <w:pStyle w:val="Kop2"/>
        <w:rPr>
          <w:lang w:val="en-GB"/>
        </w:rPr>
      </w:pPr>
      <w:r w:rsidRPr="00462AC0">
        <w:rPr>
          <w:lang w:val="en-GB"/>
        </w:rPr>
        <w:t>Policy – how it works:</w:t>
      </w:r>
    </w:p>
    <w:p w14:paraId="358AF7AA" w14:textId="5A4AA0B8" w:rsidR="00A61BF3" w:rsidRPr="00462AC0" w:rsidRDefault="001268A9" w:rsidP="00A61BF3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>How do I make my publication available in OA form?</w:t>
      </w:r>
    </w:p>
    <w:p w14:paraId="36038425" w14:textId="77777777" w:rsidR="00A61BF3" w:rsidRPr="00462AC0" w:rsidRDefault="0066325F" w:rsidP="00966C63">
      <w:pPr>
        <w:pStyle w:val="Lijstalinea"/>
        <w:rPr>
          <w:lang w:val="en-GB"/>
        </w:rPr>
      </w:pPr>
      <w:r w:rsidRPr="00462AC0">
        <w:rPr>
          <w:lang w:val="en-GB"/>
        </w:rPr>
        <w:t>There are three ways to make your publication available in OA form:</w:t>
      </w:r>
      <w:r w:rsidRPr="00462AC0">
        <w:rPr>
          <w:lang w:val="en-GB"/>
        </w:rPr>
        <w:tab/>
      </w:r>
    </w:p>
    <w:p w14:paraId="3FF16319" w14:textId="418014DD" w:rsidR="00A61BF3" w:rsidRPr="00462AC0" w:rsidRDefault="0066325F" w:rsidP="00966C63">
      <w:pPr>
        <w:pStyle w:val="Lijstalinea"/>
        <w:rPr>
          <w:lang w:val="en-GB"/>
        </w:rPr>
      </w:pPr>
      <w:r w:rsidRPr="00462AC0">
        <w:rPr>
          <w:lang w:val="en-GB"/>
        </w:rPr>
        <w:t xml:space="preserve">- </w:t>
      </w:r>
      <w:r w:rsidR="00286654">
        <w:rPr>
          <w:lang w:val="en-GB"/>
        </w:rPr>
        <w:t>P</w:t>
      </w:r>
      <w:r w:rsidRPr="00462AC0">
        <w:rPr>
          <w:lang w:val="en-GB"/>
        </w:rPr>
        <w:t>ublication in a Gold OA journal: the publisher makes the article available in OA form.</w:t>
      </w:r>
    </w:p>
    <w:p w14:paraId="2A737FE3" w14:textId="0A67236B" w:rsidR="00A61BF3" w:rsidRPr="00462AC0" w:rsidRDefault="0066325F" w:rsidP="00966C63">
      <w:pPr>
        <w:pStyle w:val="Lijstalinea"/>
        <w:rPr>
          <w:lang w:val="en-GB"/>
        </w:rPr>
      </w:pPr>
      <w:r w:rsidRPr="00462AC0">
        <w:rPr>
          <w:lang w:val="en-GB"/>
        </w:rPr>
        <w:t xml:space="preserve">- </w:t>
      </w:r>
      <w:r w:rsidR="00286654">
        <w:rPr>
          <w:lang w:val="en-GB"/>
        </w:rPr>
        <w:t>P</w:t>
      </w:r>
      <w:r w:rsidRPr="00462AC0">
        <w:rPr>
          <w:lang w:val="en-GB"/>
        </w:rPr>
        <w:t xml:space="preserve">ublication in a journal that falls under a transformative deal: the publisher makes the article available in OA form. At present, NWO-I only participates in a transformative deal with Elsevier. During the submission process, </w:t>
      </w:r>
      <w:r w:rsidR="002163AC">
        <w:rPr>
          <w:lang w:val="en-GB"/>
        </w:rPr>
        <w:t>OA publication</w:t>
      </w:r>
      <w:r w:rsidRPr="00462AC0">
        <w:rPr>
          <w:lang w:val="en-GB"/>
        </w:rPr>
        <w:t xml:space="preserve"> should </w:t>
      </w:r>
      <w:r w:rsidR="00286654">
        <w:rPr>
          <w:lang w:val="en-GB"/>
        </w:rPr>
        <w:t>already be possible to arrange</w:t>
      </w:r>
      <w:r w:rsidRPr="00462AC0">
        <w:rPr>
          <w:lang w:val="en-GB"/>
        </w:rPr>
        <w:t xml:space="preserve"> without any problems.</w:t>
      </w:r>
    </w:p>
    <w:p w14:paraId="2BFDFE15" w14:textId="7800F858" w:rsidR="00A61BF3" w:rsidRPr="00462AC0" w:rsidRDefault="0066325F" w:rsidP="00966C63">
      <w:pPr>
        <w:pStyle w:val="Lijstalinea"/>
        <w:rPr>
          <w:lang w:val="en-GB"/>
        </w:rPr>
      </w:pPr>
      <w:r w:rsidRPr="00462AC0">
        <w:rPr>
          <w:lang w:val="en-GB"/>
        </w:rPr>
        <w:t xml:space="preserve">- </w:t>
      </w:r>
      <w:r w:rsidR="00286654">
        <w:rPr>
          <w:lang w:val="en-GB"/>
        </w:rPr>
        <w:t>P</w:t>
      </w:r>
      <w:r w:rsidRPr="00462AC0">
        <w:rPr>
          <w:lang w:val="en-GB"/>
        </w:rPr>
        <w:t>ubli</w:t>
      </w:r>
      <w:r w:rsidR="00966C63">
        <w:rPr>
          <w:lang w:val="en-GB"/>
        </w:rPr>
        <w:t>cation</w:t>
      </w:r>
      <w:r w:rsidRPr="00462AC0">
        <w:rPr>
          <w:lang w:val="en-GB"/>
        </w:rPr>
        <w:t xml:space="preserve"> in a non-OA journal and taking the responsibility to ensure that the article concerned is placed in the repository designated by your institute immediately </w:t>
      </w:r>
      <w:r w:rsidR="00286654">
        <w:rPr>
          <w:lang w:val="en-GB"/>
        </w:rPr>
        <w:t>upon</w:t>
      </w:r>
      <w:r w:rsidRPr="00462AC0">
        <w:rPr>
          <w:lang w:val="en-GB"/>
        </w:rPr>
        <w:t xml:space="preserve"> publication</w:t>
      </w:r>
      <w:r w:rsidR="002F25A3">
        <w:rPr>
          <w:lang w:val="en-GB"/>
        </w:rPr>
        <w:t xml:space="preserve"> (green route)</w:t>
      </w:r>
      <w:r w:rsidRPr="00462AC0">
        <w:rPr>
          <w:lang w:val="en-GB"/>
        </w:rPr>
        <w:t>.</w:t>
      </w:r>
    </w:p>
    <w:p w14:paraId="4A094492" w14:textId="77777777" w:rsidR="00A61BF3" w:rsidRPr="00462AC0" w:rsidRDefault="00A61BF3" w:rsidP="00966C63">
      <w:pPr>
        <w:pStyle w:val="Lijstalinea"/>
        <w:rPr>
          <w:lang w:val="en-GB"/>
        </w:rPr>
      </w:pPr>
    </w:p>
    <w:p w14:paraId="1B884EAE" w14:textId="51C23229" w:rsidR="0063658C" w:rsidRPr="00462AC0" w:rsidRDefault="001268A9" w:rsidP="00A61BF3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 xml:space="preserve">How should I arrange OA if, for example, I am the </w:t>
      </w:r>
      <w:r w:rsidR="002163AC">
        <w:rPr>
          <w:b/>
          <w:bCs/>
          <w:lang w:val="en-GB"/>
        </w:rPr>
        <w:t>50th</w:t>
      </w:r>
      <w:r w:rsidRPr="00462AC0">
        <w:rPr>
          <w:b/>
          <w:bCs/>
          <w:lang w:val="en-GB"/>
        </w:rPr>
        <w:t xml:space="preserve"> author (in large consortia)?</w:t>
      </w:r>
    </w:p>
    <w:p w14:paraId="60985FD1" w14:textId="7AA470C2" w:rsidR="0063658C" w:rsidRPr="00462AC0" w:rsidRDefault="0066325F" w:rsidP="00966C63">
      <w:pPr>
        <w:pStyle w:val="Lijstalinea"/>
        <w:rPr>
          <w:lang w:val="en-GB"/>
        </w:rPr>
      </w:pPr>
      <w:r w:rsidRPr="00462AC0">
        <w:rPr>
          <w:lang w:val="en-GB"/>
        </w:rPr>
        <w:t>If the corresponding author does not ensure that the article becomes available in OA form, you must place it in the designated repository</w:t>
      </w:r>
      <w:r w:rsidR="00286654">
        <w:rPr>
          <w:lang w:val="en-GB"/>
        </w:rPr>
        <w:t xml:space="preserve"> yourself</w:t>
      </w:r>
      <w:r w:rsidRPr="00462AC0">
        <w:rPr>
          <w:lang w:val="en-GB"/>
        </w:rPr>
        <w:t xml:space="preserve">. If it is available in OA form elsewhere, you only need </w:t>
      </w:r>
      <w:r w:rsidR="00B41E6E" w:rsidRPr="00462AC0">
        <w:rPr>
          <w:lang w:val="en-GB"/>
        </w:rPr>
        <w:t>to</w:t>
      </w:r>
      <w:r w:rsidRPr="00462AC0">
        <w:rPr>
          <w:lang w:val="en-GB"/>
        </w:rPr>
        <w:t xml:space="preserve"> place a link in the designated repository. If several co-authors work at an NWO institute, only one</w:t>
      </w:r>
      <w:r w:rsidR="002B7B0C">
        <w:rPr>
          <w:lang w:val="en-GB"/>
        </w:rPr>
        <w:t xml:space="preserve"> of them</w:t>
      </w:r>
      <w:r w:rsidRPr="00462AC0">
        <w:rPr>
          <w:lang w:val="en-GB"/>
        </w:rPr>
        <w:t xml:space="preserve"> needs to place the article in the repository.</w:t>
      </w:r>
      <w:r w:rsidR="006D7FDF" w:rsidRPr="00462AC0">
        <w:rPr>
          <w:lang w:val="en-GB"/>
        </w:rPr>
        <w:t xml:space="preserve"> </w:t>
      </w:r>
    </w:p>
    <w:p w14:paraId="50A0B967" w14:textId="77777777" w:rsidR="0063658C" w:rsidRPr="00462AC0" w:rsidRDefault="0063658C" w:rsidP="00966C63">
      <w:pPr>
        <w:pStyle w:val="Lijstalinea"/>
        <w:rPr>
          <w:lang w:val="en-GB"/>
        </w:rPr>
      </w:pPr>
    </w:p>
    <w:p w14:paraId="5A9D00EE" w14:textId="17F6CBFA" w:rsidR="0063658C" w:rsidRPr="00462AC0" w:rsidRDefault="001268A9" w:rsidP="00A61BF3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>What should I do if my co-author(s) do</w:t>
      </w:r>
      <w:r w:rsidR="002163AC">
        <w:rPr>
          <w:b/>
          <w:bCs/>
          <w:lang w:val="en-GB"/>
        </w:rPr>
        <w:t>es/do</w:t>
      </w:r>
      <w:r w:rsidRPr="00462AC0">
        <w:rPr>
          <w:b/>
          <w:bCs/>
          <w:lang w:val="en-GB"/>
        </w:rPr>
        <w:t xml:space="preserve"> nothing to ensure publication in</w:t>
      </w:r>
      <w:r w:rsidR="00B41E6E">
        <w:rPr>
          <w:b/>
          <w:bCs/>
          <w:lang w:val="en-GB"/>
        </w:rPr>
        <w:t xml:space="preserve"> </w:t>
      </w:r>
      <w:r w:rsidRPr="00462AC0">
        <w:rPr>
          <w:b/>
          <w:bCs/>
          <w:lang w:val="en-GB"/>
        </w:rPr>
        <w:t>OA form?</w:t>
      </w:r>
    </w:p>
    <w:p w14:paraId="40F59483" w14:textId="51F5B4E1" w:rsidR="0063658C" w:rsidRPr="00462AC0" w:rsidRDefault="00D92190" w:rsidP="00966C63">
      <w:pPr>
        <w:pStyle w:val="Lijstalinea"/>
        <w:rPr>
          <w:lang w:val="en-GB"/>
        </w:rPr>
      </w:pPr>
      <w:r w:rsidRPr="00462AC0">
        <w:rPr>
          <w:lang w:val="en-GB"/>
        </w:rPr>
        <w:t>Then you should simply place the article in the designated repository yourself. The policy framework arranges that you</w:t>
      </w:r>
      <w:r w:rsidR="00B760CF">
        <w:rPr>
          <w:lang w:val="en-GB"/>
        </w:rPr>
        <w:t xml:space="preserve"> </w:t>
      </w:r>
      <w:r w:rsidR="00B83CE6">
        <w:rPr>
          <w:lang w:val="en-GB"/>
        </w:rPr>
        <w:t xml:space="preserve">are not only required </w:t>
      </w:r>
      <w:r w:rsidRPr="00462AC0">
        <w:rPr>
          <w:lang w:val="en-GB"/>
        </w:rPr>
        <w:t xml:space="preserve">to do that, but that you </w:t>
      </w:r>
      <w:r w:rsidR="00B83CE6">
        <w:rPr>
          <w:lang w:val="en-GB"/>
        </w:rPr>
        <w:t>are allowed to do that</w:t>
      </w:r>
      <w:r w:rsidRPr="00462AC0">
        <w:rPr>
          <w:lang w:val="en-GB"/>
        </w:rPr>
        <w:t xml:space="preserve">. </w:t>
      </w:r>
    </w:p>
    <w:p w14:paraId="284F353E" w14:textId="77777777" w:rsidR="0063658C" w:rsidRPr="00462AC0" w:rsidRDefault="0063658C" w:rsidP="00966C63">
      <w:pPr>
        <w:pStyle w:val="Lijstalinea"/>
        <w:rPr>
          <w:lang w:val="en-GB"/>
        </w:rPr>
      </w:pPr>
    </w:p>
    <w:p w14:paraId="4E3A50A9" w14:textId="15C96B78" w:rsidR="0096792D" w:rsidRPr="00462AC0" w:rsidRDefault="001268A9" w:rsidP="0096792D">
      <w:pPr>
        <w:pStyle w:val="Kop2"/>
        <w:rPr>
          <w:lang w:val="en-GB"/>
        </w:rPr>
      </w:pPr>
      <w:r w:rsidRPr="00462AC0">
        <w:rPr>
          <w:lang w:val="en-GB"/>
        </w:rPr>
        <w:t>Practical questions</w:t>
      </w:r>
    </w:p>
    <w:p w14:paraId="5FAAF29C" w14:textId="0D5B1AE9" w:rsidR="0096792D" w:rsidRPr="00462AC0" w:rsidRDefault="001268A9" w:rsidP="00AE782C">
      <w:pPr>
        <w:pStyle w:val="Lijstalinea"/>
        <w:numPr>
          <w:ilvl w:val="0"/>
          <w:numId w:val="1"/>
        </w:numPr>
        <w:rPr>
          <w:strike/>
          <w:lang w:val="en-GB"/>
        </w:rPr>
      </w:pPr>
      <w:r w:rsidRPr="00462AC0">
        <w:rPr>
          <w:b/>
          <w:bCs/>
          <w:lang w:val="en-GB"/>
        </w:rPr>
        <w:t xml:space="preserve">Should I place the AAM or the </w:t>
      </w:r>
      <w:proofErr w:type="spellStart"/>
      <w:r w:rsidRPr="00462AC0">
        <w:rPr>
          <w:b/>
          <w:bCs/>
          <w:lang w:val="en-GB"/>
        </w:rPr>
        <w:t>VoR</w:t>
      </w:r>
      <w:proofErr w:type="spellEnd"/>
      <w:r w:rsidRPr="00462AC0">
        <w:rPr>
          <w:b/>
          <w:bCs/>
          <w:lang w:val="en-GB"/>
        </w:rPr>
        <w:t xml:space="preserve"> in </w:t>
      </w:r>
      <w:r w:rsidR="00D958A8">
        <w:rPr>
          <w:b/>
          <w:bCs/>
          <w:lang w:val="en-GB"/>
        </w:rPr>
        <w:t>the</w:t>
      </w:r>
      <w:r w:rsidRPr="00462AC0">
        <w:rPr>
          <w:b/>
          <w:bCs/>
          <w:lang w:val="en-GB"/>
        </w:rPr>
        <w:t xml:space="preserve"> repository?</w:t>
      </w:r>
    </w:p>
    <w:p w14:paraId="01BA423A" w14:textId="5BE32EE5" w:rsidR="0096792D" w:rsidRPr="00462AC0" w:rsidRDefault="001268A9" w:rsidP="00966C63">
      <w:pPr>
        <w:pStyle w:val="Lijstalinea"/>
        <w:rPr>
          <w:strike/>
          <w:lang w:val="en-GB"/>
        </w:rPr>
      </w:pPr>
      <w:r w:rsidRPr="00462AC0">
        <w:rPr>
          <w:lang w:val="en-GB"/>
        </w:rPr>
        <w:t>You are required to place at least the AAM (Author</w:t>
      </w:r>
      <w:r w:rsidR="009A3261">
        <w:rPr>
          <w:lang w:val="en-GB"/>
        </w:rPr>
        <w:t>’</w:t>
      </w:r>
      <w:r w:rsidRPr="00462AC0">
        <w:rPr>
          <w:lang w:val="en-GB"/>
        </w:rPr>
        <w:t xml:space="preserve">s Accepted Manuscript) in </w:t>
      </w:r>
      <w:r>
        <w:rPr>
          <w:lang w:val="en-GB"/>
        </w:rPr>
        <w:t>th</w:t>
      </w:r>
      <w:r w:rsidRPr="00462AC0">
        <w:rPr>
          <w:lang w:val="en-GB"/>
        </w:rPr>
        <w:t xml:space="preserve">e repository. Some publishers permit immediate publication of the </w:t>
      </w:r>
      <w:proofErr w:type="spellStart"/>
      <w:r w:rsidRPr="00462AC0">
        <w:rPr>
          <w:lang w:val="en-GB"/>
        </w:rPr>
        <w:t>VoR</w:t>
      </w:r>
      <w:proofErr w:type="spellEnd"/>
      <w:r w:rsidRPr="00462AC0">
        <w:rPr>
          <w:lang w:val="en-GB"/>
        </w:rPr>
        <w:t xml:space="preserve"> (Version of Record) in a repository. If that is the case, you can also choose </w:t>
      </w:r>
      <w:r w:rsidR="00E569E1">
        <w:rPr>
          <w:lang w:val="en-GB"/>
        </w:rPr>
        <w:t xml:space="preserve">the </w:t>
      </w:r>
      <w:proofErr w:type="spellStart"/>
      <w:r w:rsidR="00E569E1">
        <w:rPr>
          <w:lang w:val="en-GB"/>
        </w:rPr>
        <w:t>VoR</w:t>
      </w:r>
      <w:proofErr w:type="spellEnd"/>
      <w:r w:rsidRPr="00462AC0">
        <w:rPr>
          <w:lang w:val="en-GB"/>
        </w:rPr>
        <w:t xml:space="preserve">. </w:t>
      </w:r>
    </w:p>
    <w:p w14:paraId="618B4F1C" w14:textId="77777777" w:rsidR="0096792D" w:rsidRPr="00462AC0" w:rsidRDefault="0096792D" w:rsidP="00966C63">
      <w:pPr>
        <w:pStyle w:val="Lijstalinea"/>
        <w:rPr>
          <w:strike/>
          <w:lang w:val="en-GB"/>
        </w:rPr>
      </w:pPr>
    </w:p>
    <w:p w14:paraId="50A6E11E" w14:textId="5905CB6E" w:rsidR="00AE782C" w:rsidRPr="00462AC0" w:rsidRDefault="001268A9" w:rsidP="0096792D">
      <w:pPr>
        <w:pStyle w:val="Lijstalinea"/>
        <w:numPr>
          <w:ilvl w:val="0"/>
          <w:numId w:val="1"/>
        </w:numPr>
        <w:rPr>
          <w:strike/>
          <w:lang w:val="en-GB"/>
        </w:rPr>
      </w:pPr>
      <w:r w:rsidRPr="00462AC0">
        <w:rPr>
          <w:b/>
          <w:bCs/>
          <w:lang w:val="en-GB"/>
        </w:rPr>
        <w:t xml:space="preserve">What </w:t>
      </w:r>
      <w:r w:rsidR="002163AC">
        <w:rPr>
          <w:b/>
          <w:bCs/>
          <w:lang w:val="en-GB"/>
        </w:rPr>
        <w:t>should</w:t>
      </w:r>
      <w:r w:rsidRPr="00462AC0">
        <w:rPr>
          <w:b/>
          <w:bCs/>
          <w:lang w:val="en-GB"/>
        </w:rPr>
        <w:t xml:space="preserve"> I do if I receive a takedown notice?</w:t>
      </w:r>
    </w:p>
    <w:p w14:paraId="3866CD2D" w14:textId="4E5A16D3" w:rsidR="00AE782C" w:rsidRPr="00462AC0" w:rsidRDefault="001268A9" w:rsidP="00966C63">
      <w:pPr>
        <w:pStyle w:val="Lijstalinea"/>
        <w:rPr>
          <w:strike/>
          <w:lang w:val="en-GB"/>
        </w:rPr>
      </w:pPr>
      <w:r w:rsidRPr="00462AC0">
        <w:rPr>
          <w:lang w:val="en-GB"/>
        </w:rPr>
        <w:t>You should pass this on to the contact person at your institute. They will contact NWO-I and deal with the matter</w:t>
      </w:r>
      <w:r w:rsidR="002163AC">
        <w:rPr>
          <w:lang w:val="en-GB"/>
        </w:rPr>
        <w:t xml:space="preserve"> further</w:t>
      </w:r>
      <w:r w:rsidRPr="00462AC0">
        <w:rPr>
          <w:lang w:val="en-GB"/>
        </w:rPr>
        <w:t>. The AAM remains in the repository.</w:t>
      </w:r>
    </w:p>
    <w:p w14:paraId="5ADA0652" w14:textId="77777777" w:rsidR="00AE782C" w:rsidRPr="00462AC0" w:rsidRDefault="00AE782C" w:rsidP="00966C63">
      <w:pPr>
        <w:pStyle w:val="Lijstalinea"/>
        <w:rPr>
          <w:strike/>
          <w:lang w:val="en-GB"/>
        </w:rPr>
      </w:pPr>
    </w:p>
    <w:p w14:paraId="2D171A9C" w14:textId="039BFD19" w:rsidR="00AE782C" w:rsidRPr="00462AC0" w:rsidRDefault="001268A9" w:rsidP="00AE782C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 xml:space="preserve">Who takes responsibility and deals with the </w:t>
      </w:r>
      <w:r w:rsidR="00B41E6E" w:rsidRPr="00462AC0">
        <w:rPr>
          <w:b/>
          <w:bCs/>
          <w:lang w:val="en-GB"/>
        </w:rPr>
        <w:t>administrative</w:t>
      </w:r>
      <w:r w:rsidRPr="00462AC0">
        <w:rPr>
          <w:b/>
          <w:bCs/>
          <w:lang w:val="en-GB"/>
        </w:rPr>
        <w:t xml:space="preserve"> formalities that </w:t>
      </w:r>
      <w:r w:rsidR="00B07974">
        <w:rPr>
          <w:b/>
          <w:bCs/>
          <w:lang w:val="en-GB"/>
        </w:rPr>
        <w:t xml:space="preserve">may </w:t>
      </w:r>
      <w:r w:rsidRPr="00462AC0">
        <w:rPr>
          <w:b/>
          <w:bCs/>
          <w:lang w:val="en-GB"/>
        </w:rPr>
        <w:t>emerge from this?</w:t>
      </w:r>
    </w:p>
    <w:p w14:paraId="793162DC" w14:textId="06158FA1" w:rsidR="00AE782C" w:rsidRPr="00462AC0" w:rsidRDefault="001268A9" w:rsidP="00966C63">
      <w:pPr>
        <w:pStyle w:val="Lijstalinea"/>
        <w:rPr>
          <w:lang w:val="en-GB"/>
        </w:rPr>
      </w:pPr>
      <w:r w:rsidRPr="00462AC0">
        <w:rPr>
          <w:lang w:val="en-GB"/>
        </w:rPr>
        <w:t xml:space="preserve">The responsibility for the policy lies with </w:t>
      </w:r>
      <w:r w:rsidR="00154602">
        <w:rPr>
          <w:lang w:val="en-GB"/>
        </w:rPr>
        <w:t>NWO</w:t>
      </w:r>
      <w:r w:rsidRPr="00462AC0">
        <w:rPr>
          <w:lang w:val="en-GB"/>
        </w:rPr>
        <w:t xml:space="preserve">-I, and </w:t>
      </w:r>
      <w:r w:rsidR="00B07974">
        <w:rPr>
          <w:lang w:val="en-GB"/>
        </w:rPr>
        <w:t>it</w:t>
      </w:r>
      <w:r w:rsidRPr="00462AC0">
        <w:rPr>
          <w:lang w:val="en-GB"/>
        </w:rPr>
        <w:t xml:space="preserve"> will deal with the administrative formalities that emerge from this. </w:t>
      </w:r>
    </w:p>
    <w:p w14:paraId="3E25ADC1" w14:textId="77777777" w:rsidR="00154602" w:rsidRPr="00462AC0" w:rsidRDefault="00154602" w:rsidP="00154602">
      <w:pPr>
        <w:pStyle w:val="Lijstalinea"/>
        <w:rPr>
          <w:lang w:val="en-GB"/>
        </w:rPr>
      </w:pPr>
    </w:p>
    <w:p w14:paraId="46878E9E" w14:textId="77777777" w:rsidR="00154602" w:rsidRPr="00462AC0" w:rsidRDefault="00154602" w:rsidP="00154602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>Who will bear the costs in the case of a possible (legal) procedure and/or fine?</w:t>
      </w:r>
    </w:p>
    <w:p w14:paraId="59772481" w14:textId="77777777" w:rsidR="00154602" w:rsidRPr="00462AC0" w:rsidRDefault="00154602" w:rsidP="00154602">
      <w:pPr>
        <w:pStyle w:val="Lijstalinea"/>
        <w:rPr>
          <w:lang w:val="en-GB"/>
        </w:rPr>
      </w:pPr>
      <w:r w:rsidRPr="00462AC0">
        <w:rPr>
          <w:lang w:val="en-GB"/>
        </w:rPr>
        <w:t>NWO-I.</w:t>
      </w:r>
    </w:p>
    <w:p w14:paraId="062CAA76" w14:textId="7E8C9A2E" w:rsidR="00AE782C" w:rsidRDefault="00AE782C" w:rsidP="00966C63">
      <w:pPr>
        <w:pStyle w:val="Lijstalinea"/>
        <w:rPr>
          <w:lang w:val="en-GB"/>
        </w:rPr>
      </w:pPr>
    </w:p>
    <w:p w14:paraId="7303C0BB" w14:textId="77777777" w:rsidR="000D4255" w:rsidRPr="00462AC0" w:rsidRDefault="000D4255" w:rsidP="00966C63">
      <w:pPr>
        <w:pStyle w:val="Lijstalinea"/>
        <w:rPr>
          <w:lang w:val="en-GB"/>
        </w:rPr>
      </w:pPr>
    </w:p>
    <w:p w14:paraId="4A993296" w14:textId="22E25056" w:rsidR="00AE782C" w:rsidRPr="00462AC0" w:rsidRDefault="001268A9" w:rsidP="00AE782C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lastRenderedPageBreak/>
        <w:t>Do I have to comply with the publisher</w:t>
      </w:r>
      <w:r w:rsidR="002163AC">
        <w:rPr>
          <w:b/>
          <w:bCs/>
          <w:lang w:val="en-GB"/>
        </w:rPr>
        <w:t>’</w:t>
      </w:r>
      <w:r w:rsidRPr="00462AC0">
        <w:rPr>
          <w:b/>
          <w:bCs/>
          <w:lang w:val="en-GB"/>
        </w:rPr>
        <w:t>s embargo concerning when the AAM (or the</w:t>
      </w:r>
      <w:r w:rsidR="00462AC0" w:rsidRPr="00462AC0">
        <w:rPr>
          <w:b/>
          <w:bCs/>
          <w:lang w:val="en-GB"/>
        </w:rPr>
        <w:t xml:space="preserve"> </w:t>
      </w:r>
      <w:proofErr w:type="spellStart"/>
      <w:r w:rsidRPr="00462AC0">
        <w:rPr>
          <w:b/>
          <w:bCs/>
          <w:lang w:val="en-GB"/>
        </w:rPr>
        <w:t>VoR</w:t>
      </w:r>
      <w:proofErr w:type="spellEnd"/>
      <w:r w:rsidR="0039550C">
        <w:rPr>
          <w:b/>
          <w:bCs/>
          <w:lang w:val="en-GB"/>
        </w:rPr>
        <w:t>,</w:t>
      </w:r>
      <w:r w:rsidRPr="00462AC0">
        <w:rPr>
          <w:b/>
          <w:bCs/>
          <w:lang w:val="en-GB"/>
        </w:rPr>
        <w:t xml:space="preserve"> if that is permitted) may be placed in the repository?</w:t>
      </w:r>
    </w:p>
    <w:p w14:paraId="7A9418E0" w14:textId="6975A722" w:rsidR="00AE782C" w:rsidRPr="00462AC0" w:rsidRDefault="001268A9" w:rsidP="00966C63">
      <w:pPr>
        <w:pStyle w:val="Lijstalinea"/>
        <w:rPr>
          <w:lang w:val="en-GB"/>
        </w:rPr>
      </w:pPr>
      <w:r w:rsidRPr="00462AC0">
        <w:rPr>
          <w:lang w:val="en-GB"/>
        </w:rPr>
        <w:t xml:space="preserve">No. As stated in the policy framework, the wish of the employer takes </w:t>
      </w:r>
      <w:r w:rsidR="0039550C">
        <w:rPr>
          <w:lang w:val="en-GB"/>
        </w:rPr>
        <w:t>precedence</w:t>
      </w:r>
      <w:r w:rsidRPr="00462AC0">
        <w:rPr>
          <w:lang w:val="en-GB"/>
        </w:rPr>
        <w:t xml:space="preserve"> over the wish of the publisher. This is because the NWO-I policy framework is from an earlier date than the </w:t>
      </w:r>
      <w:r w:rsidR="0039550C">
        <w:rPr>
          <w:lang w:val="en-GB"/>
        </w:rPr>
        <w:t>request</w:t>
      </w:r>
      <w:r w:rsidRPr="00462AC0">
        <w:rPr>
          <w:lang w:val="en-GB"/>
        </w:rPr>
        <w:t xml:space="preserve"> from the publisher.</w:t>
      </w:r>
    </w:p>
    <w:p w14:paraId="1E8B496E" w14:textId="77777777" w:rsidR="00AE782C" w:rsidRPr="00462AC0" w:rsidRDefault="00AE782C" w:rsidP="00966C63">
      <w:pPr>
        <w:pStyle w:val="Lijstalinea"/>
        <w:rPr>
          <w:lang w:val="en-GB"/>
        </w:rPr>
      </w:pPr>
    </w:p>
    <w:p w14:paraId="7033532E" w14:textId="6A5B0BFA" w:rsidR="00AE782C" w:rsidRPr="00462AC0" w:rsidRDefault="001268A9" w:rsidP="00AE782C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 xml:space="preserve">If I place a preprint on </w:t>
      </w:r>
      <w:proofErr w:type="spellStart"/>
      <w:r w:rsidR="002163AC">
        <w:rPr>
          <w:b/>
          <w:bCs/>
          <w:lang w:val="en-GB"/>
        </w:rPr>
        <w:t>arXiv</w:t>
      </w:r>
      <w:proofErr w:type="spellEnd"/>
      <w:r w:rsidRPr="00462AC0">
        <w:rPr>
          <w:b/>
          <w:bCs/>
          <w:lang w:val="en-GB"/>
        </w:rPr>
        <w:t xml:space="preserve">, for example, then does that count for </w:t>
      </w:r>
      <w:r w:rsidR="00AE0AC0">
        <w:rPr>
          <w:b/>
          <w:bCs/>
          <w:lang w:val="en-GB"/>
        </w:rPr>
        <w:t>open access</w:t>
      </w:r>
      <w:r w:rsidRPr="00462AC0">
        <w:rPr>
          <w:b/>
          <w:bCs/>
          <w:lang w:val="en-GB"/>
        </w:rPr>
        <w:t>?</w:t>
      </w:r>
    </w:p>
    <w:p w14:paraId="608CC4C5" w14:textId="71EF8309" w:rsidR="00AE782C" w:rsidRPr="000D4255" w:rsidRDefault="001268A9" w:rsidP="00966C63">
      <w:pPr>
        <w:pStyle w:val="Lijstalinea"/>
        <w:rPr>
          <w:lang w:val="en-US"/>
        </w:rPr>
      </w:pPr>
      <w:r w:rsidRPr="00462AC0">
        <w:rPr>
          <w:lang w:val="en-GB"/>
        </w:rPr>
        <w:t>No, that does not</w:t>
      </w:r>
      <w:r w:rsidR="00462AC0" w:rsidRPr="00462AC0">
        <w:rPr>
          <w:lang w:val="en-GB"/>
        </w:rPr>
        <w:t xml:space="preserve"> </w:t>
      </w:r>
      <w:r w:rsidRPr="00462AC0">
        <w:rPr>
          <w:lang w:val="en-GB"/>
        </w:rPr>
        <w:t xml:space="preserve">count as </w:t>
      </w:r>
      <w:r w:rsidR="00AE0AC0">
        <w:rPr>
          <w:lang w:val="en-GB"/>
        </w:rPr>
        <w:t>open access</w:t>
      </w:r>
      <w:r w:rsidRPr="00462AC0">
        <w:rPr>
          <w:lang w:val="en-GB"/>
        </w:rPr>
        <w:t>. The version after peer</w:t>
      </w:r>
      <w:r w:rsidR="002163AC">
        <w:rPr>
          <w:lang w:val="en-GB"/>
        </w:rPr>
        <w:t xml:space="preserve"> </w:t>
      </w:r>
      <w:r w:rsidRPr="00462AC0">
        <w:rPr>
          <w:lang w:val="en-GB"/>
        </w:rPr>
        <w:t>review (therefore the Author</w:t>
      </w:r>
      <w:r w:rsidR="0039550C">
        <w:rPr>
          <w:lang w:val="en-GB"/>
        </w:rPr>
        <w:t>’</w:t>
      </w:r>
      <w:r w:rsidRPr="00462AC0">
        <w:rPr>
          <w:lang w:val="en-GB"/>
        </w:rPr>
        <w:t>s Accepted Manuscript or, where permitted, the Version of Record) should be placed in the designated repository</w:t>
      </w:r>
      <w:r w:rsidR="000D4255">
        <w:rPr>
          <w:lang w:val="en-GB"/>
        </w:rPr>
        <w:t xml:space="preserve"> (which is </w:t>
      </w:r>
      <w:proofErr w:type="spellStart"/>
      <w:r w:rsidR="000D4255">
        <w:rPr>
          <w:lang w:val="en-GB"/>
        </w:rPr>
        <w:t>arXiv</w:t>
      </w:r>
      <w:proofErr w:type="spellEnd"/>
      <w:r w:rsidR="000D4255">
        <w:rPr>
          <w:lang w:val="en-GB"/>
        </w:rPr>
        <w:t xml:space="preserve"> for some NWO-institutes)</w:t>
      </w:r>
      <w:r w:rsidRPr="00462AC0">
        <w:rPr>
          <w:lang w:val="en-GB"/>
        </w:rPr>
        <w:t xml:space="preserve">. </w:t>
      </w:r>
    </w:p>
    <w:p w14:paraId="1365A22B" w14:textId="77777777" w:rsidR="00AE782C" w:rsidRPr="000D4255" w:rsidRDefault="00AE782C" w:rsidP="00966C63">
      <w:pPr>
        <w:pStyle w:val="Lijstalinea"/>
        <w:rPr>
          <w:lang w:val="en-US"/>
        </w:rPr>
      </w:pPr>
    </w:p>
    <w:p w14:paraId="09C92CB5" w14:textId="644A191D" w:rsidR="0063658C" w:rsidRPr="00462AC0" w:rsidRDefault="001268A9" w:rsidP="008E4FB1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>What happens if OA, for whatever reason, proves not to be possible?</w:t>
      </w:r>
    </w:p>
    <w:p w14:paraId="3D0B14FA" w14:textId="0B53465C" w:rsidR="0063658C" w:rsidRPr="00462AC0" w:rsidRDefault="00D92190" w:rsidP="00966C63">
      <w:pPr>
        <w:pStyle w:val="Lijstalinea"/>
        <w:rPr>
          <w:lang w:val="en-GB"/>
        </w:rPr>
      </w:pPr>
      <w:r w:rsidRPr="00462AC0">
        <w:rPr>
          <w:lang w:val="en-GB"/>
        </w:rPr>
        <w:t xml:space="preserve">Then you should request help from the repository manager of your institute. If </w:t>
      </w:r>
      <w:r w:rsidR="002163AC">
        <w:rPr>
          <w:lang w:val="en-GB"/>
        </w:rPr>
        <w:t>this does not solve the problem</w:t>
      </w:r>
      <w:r w:rsidRPr="00462AC0">
        <w:rPr>
          <w:lang w:val="en-GB"/>
        </w:rPr>
        <w:t xml:space="preserve">, you should contact your line manager/group leader to explain why it is not possible and the requirement to make the article available in OA form will </w:t>
      </w:r>
      <w:r w:rsidR="002163AC">
        <w:rPr>
          <w:lang w:val="en-GB"/>
        </w:rPr>
        <w:t xml:space="preserve">subsequently </w:t>
      </w:r>
      <w:r w:rsidRPr="00462AC0">
        <w:rPr>
          <w:lang w:val="en-GB"/>
        </w:rPr>
        <w:t>be lifted for that</w:t>
      </w:r>
      <w:r w:rsidR="00462AC0" w:rsidRPr="00462AC0">
        <w:rPr>
          <w:lang w:val="en-GB"/>
        </w:rPr>
        <w:t xml:space="preserve"> </w:t>
      </w:r>
      <w:r w:rsidRPr="00462AC0">
        <w:rPr>
          <w:lang w:val="en-GB"/>
        </w:rPr>
        <w:t>article.</w:t>
      </w:r>
      <w:r w:rsidR="008E4FB1" w:rsidRPr="00462AC0">
        <w:rPr>
          <w:lang w:val="en-GB"/>
        </w:rPr>
        <w:t xml:space="preserve"> </w:t>
      </w:r>
    </w:p>
    <w:p w14:paraId="6D308DFD" w14:textId="77777777" w:rsidR="0063658C" w:rsidRPr="00462AC0" w:rsidRDefault="0063658C" w:rsidP="00966C63">
      <w:pPr>
        <w:pStyle w:val="Lijstalinea"/>
        <w:rPr>
          <w:lang w:val="en-GB"/>
        </w:rPr>
      </w:pPr>
    </w:p>
    <w:p w14:paraId="6A677378" w14:textId="53FCF4BC" w:rsidR="008E4FB1" w:rsidRPr="00462AC0" w:rsidRDefault="001268A9" w:rsidP="008E4FB1">
      <w:pPr>
        <w:pStyle w:val="Lijstalinea"/>
        <w:numPr>
          <w:ilvl w:val="0"/>
          <w:numId w:val="1"/>
        </w:numPr>
        <w:rPr>
          <w:b/>
          <w:bCs/>
          <w:lang w:val="en-GB"/>
        </w:rPr>
      </w:pPr>
      <w:r w:rsidRPr="00462AC0">
        <w:rPr>
          <w:b/>
          <w:bCs/>
          <w:lang w:val="en-GB"/>
        </w:rPr>
        <w:t>Do the OA requirements mean that I can no longer publish in the high-profile journals in my discipline, and what does that mean for my career opportunities?</w:t>
      </w:r>
    </w:p>
    <w:p w14:paraId="7AC41493" w14:textId="1C277B50" w:rsidR="008E4FB1" w:rsidRPr="00462AC0" w:rsidRDefault="001268A9" w:rsidP="00966C63">
      <w:pPr>
        <w:pStyle w:val="Lijstalinea"/>
        <w:rPr>
          <w:b/>
          <w:bCs/>
          <w:lang w:val="en-GB"/>
        </w:rPr>
      </w:pPr>
      <w:r w:rsidRPr="00462AC0">
        <w:rPr>
          <w:lang w:val="en-GB"/>
        </w:rPr>
        <w:t>The researcher still decides which journal he or she wants to publish in. Therefore</w:t>
      </w:r>
      <w:r w:rsidR="0039550C">
        <w:rPr>
          <w:lang w:val="en-GB"/>
        </w:rPr>
        <w:t>,</w:t>
      </w:r>
      <w:r w:rsidRPr="00462AC0">
        <w:rPr>
          <w:lang w:val="en-GB"/>
        </w:rPr>
        <w:t xml:space="preserve"> this may also be a closed (subscription) journal, as long as on the day of publication you place at least the AAM in the repository designated by your institute. </w:t>
      </w:r>
    </w:p>
    <w:p w14:paraId="4F563A5F" w14:textId="77777777" w:rsidR="008E4FB1" w:rsidRPr="00462AC0" w:rsidRDefault="008E4FB1" w:rsidP="00966C63">
      <w:pPr>
        <w:pStyle w:val="Lijstalinea"/>
        <w:rPr>
          <w:b/>
          <w:bCs/>
          <w:lang w:val="en-GB"/>
        </w:rPr>
      </w:pPr>
    </w:p>
    <w:p w14:paraId="4BD50261" w14:textId="1951A990" w:rsidR="00E7509C" w:rsidRPr="00462AC0" w:rsidRDefault="001268A9" w:rsidP="0023244B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lang w:val="en-GB"/>
        </w:rPr>
        <w:t>When I submit my article, should I inform the publisher that</w:t>
      </w:r>
      <w:r w:rsidR="00462AC0" w:rsidRPr="00462AC0">
        <w:rPr>
          <w:b/>
          <w:lang w:val="en-GB"/>
        </w:rPr>
        <w:t xml:space="preserve"> </w:t>
      </w:r>
      <w:r w:rsidRPr="00462AC0">
        <w:rPr>
          <w:b/>
          <w:lang w:val="en-GB"/>
        </w:rPr>
        <w:t>I will publish it without embargo in my own repository?</w:t>
      </w:r>
    </w:p>
    <w:p w14:paraId="1BD4BFF6" w14:textId="7C0BDAF6" w:rsidR="00E7509C" w:rsidRPr="00E569E1" w:rsidRDefault="008E4FB1" w:rsidP="00E569E1">
      <w:pPr>
        <w:pStyle w:val="Lijstalinea"/>
        <w:rPr>
          <w:lang w:val="en-GB"/>
        </w:rPr>
      </w:pPr>
      <w:r w:rsidRPr="00462AC0">
        <w:rPr>
          <w:lang w:val="en-GB"/>
        </w:rPr>
        <w:t xml:space="preserve">You do not have to inform the publisher about this. On the NWO-I website, it will be stated (delayed by the hack) that we have implemented this policy and </w:t>
      </w:r>
      <w:r w:rsidR="0039550C">
        <w:rPr>
          <w:lang w:val="en-GB"/>
        </w:rPr>
        <w:t>what we require</w:t>
      </w:r>
      <w:r w:rsidRPr="00462AC0">
        <w:rPr>
          <w:lang w:val="en-GB"/>
        </w:rPr>
        <w:t xml:space="preserve"> our employees to do. Furthermore, </w:t>
      </w:r>
      <w:proofErr w:type="spellStart"/>
      <w:r w:rsidRPr="00462AC0">
        <w:rPr>
          <w:lang w:val="en-GB"/>
        </w:rPr>
        <w:t>cOAlition</w:t>
      </w:r>
      <w:proofErr w:type="spellEnd"/>
      <w:r w:rsidRPr="00462AC0">
        <w:rPr>
          <w:lang w:val="en-GB"/>
        </w:rPr>
        <w:t xml:space="preserve"> S has sent a letter to all publishers about plan S and because NWO is a member of </w:t>
      </w:r>
      <w:proofErr w:type="spellStart"/>
      <w:r w:rsidRPr="00462AC0">
        <w:rPr>
          <w:lang w:val="en-GB"/>
        </w:rPr>
        <w:t>cOAlition</w:t>
      </w:r>
      <w:proofErr w:type="spellEnd"/>
      <w:r w:rsidRPr="00462AC0">
        <w:rPr>
          <w:lang w:val="en-GB"/>
        </w:rPr>
        <w:t xml:space="preserve"> S, the publishers </w:t>
      </w:r>
      <w:r w:rsidR="0039550C">
        <w:rPr>
          <w:lang w:val="en-GB"/>
        </w:rPr>
        <w:t xml:space="preserve">should </w:t>
      </w:r>
      <w:r w:rsidRPr="00462AC0">
        <w:rPr>
          <w:lang w:val="en-GB"/>
        </w:rPr>
        <w:t>already know that this also applies to us.</w:t>
      </w:r>
      <w:r w:rsidR="0023244B" w:rsidRPr="00462AC0">
        <w:rPr>
          <w:lang w:val="en-GB"/>
        </w:rPr>
        <w:t xml:space="preserve"> </w:t>
      </w:r>
    </w:p>
    <w:p w14:paraId="677660E2" w14:textId="5DCB49A8" w:rsidR="00FC2D6C" w:rsidRPr="00462AC0" w:rsidRDefault="001268A9" w:rsidP="00FC2D6C">
      <w:pPr>
        <w:pStyle w:val="Kop2"/>
        <w:rPr>
          <w:lang w:val="en-GB"/>
        </w:rPr>
      </w:pPr>
      <w:r w:rsidRPr="00462AC0">
        <w:rPr>
          <w:lang w:val="en-GB"/>
        </w:rPr>
        <w:t>Point of contact:</w:t>
      </w:r>
    </w:p>
    <w:p w14:paraId="4731AB6F" w14:textId="1E3B51CA" w:rsidR="0063658C" w:rsidRPr="00462AC0" w:rsidRDefault="001268A9" w:rsidP="0023244B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>Who c</w:t>
      </w:r>
      <w:r w:rsidR="000D4255">
        <w:rPr>
          <w:b/>
          <w:bCs/>
          <w:lang w:val="en-GB"/>
        </w:rPr>
        <w:t>an I approach with my questions?</w:t>
      </w:r>
    </w:p>
    <w:p w14:paraId="75DE3692" w14:textId="6629FC1B" w:rsidR="0063658C" w:rsidRPr="00462AC0" w:rsidRDefault="001268A9" w:rsidP="00966C63">
      <w:pPr>
        <w:pStyle w:val="Lijstalinea"/>
        <w:rPr>
          <w:lang w:val="en-GB"/>
        </w:rPr>
      </w:pPr>
      <w:r w:rsidRPr="00462AC0">
        <w:rPr>
          <w:bCs/>
          <w:lang w:val="en-GB"/>
        </w:rPr>
        <w:t xml:space="preserve">For answers to general and specific questions you can approach </w:t>
      </w:r>
      <w:r w:rsidR="000D4255">
        <w:rPr>
          <w:bCs/>
          <w:lang w:val="en-GB"/>
        </w:rPr>
        <w:t>the contact person of your institute. Who this is can be found on the institutes website.</w:t>
      </w:r>
      <w:r w:rsidRPr="00462AC0">
        <w:rPr>
          <w:bCs/>
          <w:lang w:val="en-GB"/>
        </w:rPr>
        <w:t xml:space="preserve"> He or she can answer your questions or pass them on to the person who can.</w:t>
      </w:r>
      <w:r w:rsidRPr="00462AC0">
        <w:rPr>
          <w:lang w:val="en-GB"/>
        </w:rPr>
        <w:t xml:space="preserve"> </w:t>
      </w:r>
    </w:p>
    <w:p w14:paraId="68E08263" w14:textId="77777777" w:rsidR="0063658C" w:rsidRPr="00462AC0" w:rsidRDefault="0063658C" w:rsidP="00966C63">
      <w:pPr>
        <w:pStyle w:val="Lijstalinea"/>
        <w:rPr>
          <w:lang w:val="en-GB"/>
        </w:rPr>
      </w:pPr>
    </w:p>
    <w:p w14:paraId="7531E8C8" w14:textId="5D45C63E" w:rsidR="0063658C" w:rsidRPr="00462AC0" w:rsidRDefault="001268A9" w:rsidP="00A61BF3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>How should I deal with questions from publishers?</w:t>
      </w:r>
    </w:p>
    <w:p w14:paraId="07F6F9D8" w14:textId="78BB80AD" w:rsidR="0063658C" w:rsidRPr="00462AC0" w:rsidRDefault="004177AB" w:rsidP="00966C63">
      <w:pPr>
        <w:pStyle w:val="Lijstalinea"/>
        <w:rPr>
          <w:lang w:val="en-GB"/>
        </w:rPr>
      </w:pPr>
      <w:r w:rsidRPr="00462AC0">
        <w:rPr>
          <w:lang w:val="en-GB"/>
        </w:rPr>
        <w:t xml:space="preserve">You can pass these on to </w:t>
      </w:r>
      <w:r w:rsidR="000D4255">
        <w:rPr>
          <w:lang w:val="en-GB"/>
        </w:rPr>
        <w:t>the contact person of your</w:t>
      </w:r>
      <w:r w:rsidR="000D4255">
        <w:rPr>
          <w:bCs/>
          <w:lang w:val="en-GB"/>
        </w:rPr>
        <w:t xml:space="preserve"> institute. Who this is can be found on the institutes website.</w:t>
      </w:r>
      <w:r w:rsidR="000D4255" w:rsidRPr="00462AC0">
        <w:rPr>
          <w:bCs/>
          <w:lang w:val="en-GB"/>
        </w:rPr>
        <w:t xml:space="preserve"> </w:t>
      </w:r>
      <w:r w:rsidRPr="00462AC0">
        <w:rPr>
          <w:lang w:val="en-GB"/>
        </w:rPr>
        <w:t>He or she will ensure that these are dealt with appropriately.</w:t>
      </w:r>
    </w:p>
    <w:p w14:paraId="28DB79D5" w14:textId="77777777" w:rsidR="0063658C" w:rsidRPr="00462AC0" w:rsidRDefault="0063658C" w:rsidP="00966C63">
      <w:pPr>
        <w:pStyle w:val="Lijstalinea"/>
        <w:rPr>
          <w:lang w:val="en-GB"/>
        </w:rPr>
      </w:pPr>
    </w:p>
    <w:p w14:paraId="118CE8ED" w14:textId="09EC0564" w:rsidR="00FC2D6C" w:rsidRPr="00462AC0" w:rsidRDefault="001268A9" w:rsidP="00FC2D6C">
      <w:pPr>
        <w:pStyle w:val="Kop2"/>
        <w:rPr>
          <w:lang w:val="en-GB"/>
        </w:rPr>
      </w:pPr>
      <w:r w:rsidRPr="00462AC0">
        <w:rPr>
          <w:lang w:val="en-GB"/>
        </w:rPr>
        <w:t>Copyright</w:t>
      </w:r>
    </w:p>
    <w:p w14:paraId="5C7AC185" w14:textId="146F48D2" w:rsidR="00AE782C" w:rsidRPr="00462AC0" w:rsidRDefault="001268A9" w:rsidP="00A61BF3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>Who is the copyright holder?</w:t>
      </w:r>
    </w:p>
    <w:p w14:paraId="06DDBA39" w14:textId="196DDEC4" w:rsidR="00AE782C" w:rsidRPr="00462AC0" w:rsidRDefault="001268A9" w:rsidP="00966C63">
      <w:pPr>
        <w:pStyle w:val="Lijstalinea"/>
        <w:rPr>
          <w:lang w:val="en-GB"/>
        </w:rPr>
      </w:pPr>
      <w:r w:rsidRPr="00462AC0">
        <w:rPr>
          <w:lang w:val="en-GB"/>
        </w:rPr>
        <w:t>That is NWO-I. This is established in the Collective Labour Agreement Research Institutes (CAO-OI), article 1.8.2 which states: Pursuant to article 7 of the Copyright Act, an employer is deemed to be the maker and owner of those works that employees have created in the performance of their work.</w:t>
      </w:r>
    </w:p>
    <w:p w14:paraId="4E259EB2" w14:textId="77777777" w:rsidR="00AE782C" w:rsidRPr="00286654" w:rsidRDefault="00AE782C" w:rsidP="00966C63">
      <w:pPr>
        <w:pStyle w:val="Lijstalinea"/>
      </w:pPr>
      <w:bookmarkStart w:id="0" w:name="_GoBack"/>
      <w:bookmarkEnd w:id="0"/>
    </w:p>
    <w:p w14:paraId="49CE1B47" w14:textId="7A0F0CAC" w:rsidR="004C52C6" w:rsidRPr="00462AC0" w:rsidRDefault="001268A9" w:rsidP="004C52C6">
      <w:pPr>
        <w:pStyle w:val="Lijstalinea"/>
        <w:numPr>
          <w:ilvl w:val="0"/>
          <w:numId w:val="1"/>
        </w:numPr>
        <w:rPr>
          <w:lang w:val="en-GB"/>
        </w:rPr>
      </w:pPr>
      <w:r w:rsidRPr="00462AC0">
        <w:rPr>
          <w:b/>
          <w:bCs/>
          <w:lang w:val="en-GB"/>
        </w:rPr>
        <w:t xml:space="preserve">What is the difference between the policy of </w:t>
      </w:r>
      <w:r w:rsidR="00D958A8">
        <w:rPr>
          <w:b/>
          <w:bCs/>
          <w:lang w:val="en-GB"/>
        </w:rPr>
        <w:t xml:space="preserve">NWO and </w:t>
      </w:r>
      <w:r w:rsidRPr="00462AC0">
        <w:rPr>
          <w:b/>
          <w:bCs/>
          <w:lang w:val="en-GB"/>
        </w:rPr>
        <w:t>NWO-I with respect to</w:t>
      </w:r>
      <w:r w:rsidR="00462AC0" w:rsidRPr="00462AC0">
        <w:rPr>
          <w:b/>
          <w:bCs/>
          <w:lang w:val="en-GB"/>
        </w:rPr>
        <w:t xml:space="preserve"> </w:t>
      </w:r>
      <w:r w:rsidRPr="00462AC0">
        <w:rPr>
          <w:b/>
          <w:bCs/>
          <w:lang w:val="en-GB"/>
        </w:rPr>
        <w:t>copyright and CC-BY licences?</w:t>
      </w:r>
    </w:p>
    <w:p w14:paraId="1445F57F" w14:textId="620E0309" w:rsidR="004C52C6" w:rsidRPr="00462AC0" w:rsidRDefault="001268A9" w:rsidP="00966C63">
      <w:pPr>
        <w:pStyle w:val="Lijstalinea"/>
        <w:rPr>
          <w:lang w:val="en-GB"/>
        </w:rPr>
      </w:pPr>
      <w:r w:rsidRPr="00462AC0">
        <w:rPr>
          <w:lang w:val="en-GB"/>
        </w:rPr>
        <w:t>The NWO policy is:</w:t>
      </w:r>
      <w:r w:rsidR="00F31B40">
        <w:rPr>
          <w:lang w:val="en-GB"/>
        </w:rPr>
        <w:br/>
      </w:r>
      <w:r w:rsidR="00AE78EB" w:rsidRPr="00AE78EB">
        <w:rPr>
          <w:lang w:val="en-GB"/>
        </w:rPr>
        <w:t>For projects awarded on the basis of calls for proposals published from 1 January 2021 onwards the</w:t>
      </w:r>
      <w:r w:rsidR="00AE78EB">
        <w:rPr>
          <w:lang w:val="en-GB"/>
        </w:rPr>
        <w:t xml:space="preserve"> following requirements</w:t>
      </w:r>
      <w:r w:rsidR="00AE78EB" w:rsidRPr="00AE78EB">
        <w:rPr>
          <w:lang w:val="en-GB"/>
        </w:rPr>
        <w:t xml:space="preserve"> apply.</w:t>
      </w:r>
      <w:r w:rsidR="00AE78EB">
        <w:rPr>
          <w:lang w:val="en-GB"/>
        </w:rPr>
        <w:t xml:space="preserve"> </w:t>
      </w:r>
      <w:r w:rsidRPr="00462AC0">
        <w:rPr>
          <w:lang w:val="en-GB"/>
        </w:rPr>
        <w:t>NWO requires that publications are immediately (without embargo) made available in open access form</w:t>
      </w:r>
      <w:r w:rsidR="00AE78EB">
        <w:rPr>
          <w:lang w:val="en-GB"/>
        </w:rPr>
        <w:t xml:space="preserve"> and that a CC-BY license is applied</w:t>
      </w:r>
      <w:r w:rsidRPr="00462AC0">
        <w:rPr>
          <w:lang w:val="en-GB"/>
        </w:rPr>
        <w:t xml:space="preserve">. For authors who wish to use the </w:t>
      </w:r>
      <w:r w:rsidR="002163AC">
        <w:rPr>
          <w:lang w:val="en-GB"/>
        </w:rPr>
        <w:t>Green</w:t>
      </w:r>
      <w:r w:rsidRPr="00462AC0">
        <w:rPr>
          <w:lang w:val="en-GB"/>
        </w:rPr>
        <w:t xml:space="preserve"> route, </w:t>
      </w:r>
      <w:proofErr w:type="spellStart"/>
      <w:r w:rsidRPr="00462AC0">
        <w:rPr>
          <w:lang w:val="en-GB"/>
        </w:rPr>
        <w:t>cOAliti</w:t>
      </w:r>
      <w:r w:rsidR="00D164D8">
        <w:rPr>
          <w:lang w:val="en-GB"/>
        </w:rPr>
        <w:t>on</w:t>
      </w:r>
      <w:proofErr w:type="spellEnd"/>
      <w:r w:rsidRPr="00462AC0">
        <w:rPr>
          <w:lang w:val="en-GB"/>
        </w:rPr>
        <w:t xml:space="preserve"> S has developed the Rights Retention Strategy. This strategy ensures that authors retain the right to share their work in </w:t>
      </w:r>
      <w:r w:rsidR="00943E50">
        <w:rPr>
          <w:lang w:val="en-GB"/>
        </w:rPr>
        <w:t>o</w:t>
      </w:r>
      <w:r w:rsidRPr="00462AC0">
        <w:rPr>
          <w:lang w:val="en-GB"/>
        </w:rPr>
        <w:t xml:space="preserve">pen </w:t>
      </w:r>
      <w:r w:rsidR="00943E50">
        <w:rPr>
          <w:lang w:val="en-GB"/>
        </w:rPr>
        <w:t>a</w:t>
      </w:r>
      <w:r w:rsidRPr="00462AC0">
        <w:rPr>
          <w:lang w:val="en-GB"/>
        </w:rPr>
        <w:t>ccess form immediately and under an open licence. This also applies should the publisher place any limitations on that.</w:t>
      </w:r>
    </w:p>
    <w:p w14:paraId="5AE7D304" w14:textId="77777777" w:rsidR="004C52C6" w:rsidRPr="00462AC0" w:rsidRDefault="001268A9" w:rsidP="00966C63">
      <w:pPr>
        <w:pStyle w:val="Lijstalinea"/>
        <w:rPr>
          <w:lang w:val="en-GB"/>
        </w:rPr>
      </w:pPr>
      <w:r w:rsidRPr="00462AC0">
        <w:rPr>
          <w:lang w:val="en-GB"/>
        </w:rPr>
        <w:t>Researchers who want to make use of this right are advised to include the following text in the article when they submit it:</w:t>
      </w:r>
    </w:p>
    <w:p w14:paraId="6B1C5F00" w14:textId="59380919" w:rsidR="00611CFF" w:rsidRDefault="001268A9" w:rsidP="0023244B">
      <w:pPr>
        <w:pStyle w:val="Lijstalinea"/>
        <w:rPr>
          <w:lang w:val="en-GB"/>
        </w:rPr>
      </w:pPr>
      <w:r w:rsidRPr="00462AC0">
        <w:rPr>
          <w:lang w:val="en-GB"/>
        </w:rPr>
        <w:t>‘This research was funded in whole, or in part, by the Dutch Research Council (NWO) &lt;project number&gt;. For the purpose of open access, a CC BY public copyright licence is applied to any Author</w:t>
      </w:r>
      <w:r w:rsidR="00C86203">
        <w:rPr>
          <w:lang w:val="en-GB"/>
        </w:rPr>
        <w:t>’s</w:t>
      </w:r>
      <w:r w:rsidRPr="00462AC0">
        <w:rPr>
          <w:lang w:val="en-GB"/>
        </w:rPr>
        <w:t xml:space="preserve"> Accepted Manuscript version arising from this submission.</w:t>
      </w:r>
      <w:r>
        <w:rPr>
          <w:lang w:val="en-GB"/>
        </w:rPr>
        <w:t>’</w:t>
      </w:r>
    </w:p>
    <w:p w14:paraId="55C1EDBB" w14:textId="2FE94C3C" w:rsidR="00AE78EB" w:rsidRDefault="00AE78EB" w:rsidP="0023244B">
      <w:pPr>
        <w:pStyle w:val="Lijstalinea"/>
        <w:rPr>
          <w:lang w:val="en-US"/>
        </w:rPr>
      </w:pPr>
      <w:r>
        <w:rPr>
          <w:lang w:val="en-GB"/>
        </w:rPr>
        <w:t xml:space="preserve">For more information, see: </w:t>
      </w:r>
      <w:hyperlink r:id="rId5" w:history="1">
        <w:r w:rsidRPr="00AE78EB">
          <w:rPr>
            <w:rStyle w:val="Hyperlink"/>
            <w:lang w:val="en-US"/>
          </w:rPr>
          <w:t>Open access publishing | NWO</w:t>
        </w:r>
      </w:hyperlink>
      <w:r w:rsidRPr="00AE78EB">
        <w:rPr>
          <w:lang w:val="en-US"/>
        </w:rPr>
        <w:t>.</w:t>
      </w:r>
      <w:r w:rsidR="00F31B40">
        <w:rPr>
          <w:lang w:val="en-US"/>
        </w:rPr>
        <w:br/>
      </w:r>
    </w:p>
    <w:p w14:paraId="241E78E2" w14:textId="46ECADD2" w:rsidR="00F31B40" w:rsidRPr="00AE78EB" w:rsidRDefault="00F31B40" w:rsidP="0023244B">
      <w:pPr>
        <w:pStyle w:val="Lijstalinea"/>
        <w:rPr>
          <w:lang w:val="en-US"/>
        </w:rPr>
      </w:pPr>
      <w:r w:rsidRPr="00AE78EB">
        <w:rPr>
          <w:lang w:val="en-GB"/>
        </w:rPr>
        <w:t>For projects awarded on the basis of cal</w:t>
      </w:r>
      <w:r>
        <w:rPr>
          <w:lang w:val="en-GB"/>
        </w:rPr>
        <w:t xml:space="preserve">ls for proposals published before 1 January 2021 </w:t>
      </w:r>
      <w:r w:rsidRPr="00AE78EB">
        <w:rPr>
          <w:lang w:val="en-GB"/>
        </w:rPr>
        <w:t>the</w:t>
      </w:r>
      <w:r>
        <w:rPr>
          <w:lang w:val="en-GB"/>
        </w:rPr>
        <w:t xml:space="preserve"> following requirements</w:t>
      </w:r>
      <w:r w:rsidRPr="00AE78EB">
        <w:rPr>
          <w:lang w:val="en-GB"/>
        </w:rPr>
        <w:t xml:space="preserve"> apply.</w:t>
      </w:r>
      <w:r>
        <w:rPr>
          <w:lang w:val="en-GB"/>
        </w:rPr>
        <w:t xml:space="preserve"> </w:t>
      </w:r>
      <w:r w:rsidRPr="00462AC0">
        <w:rPr>
          <w:lang w:val="en-GB"/>
        </w:rPr>
        <w:t>NWO requires that publications are immediately (without embargo) made available in open access form</w:t>
      </w:r>
      <w:r>
        <w:rPr>
          <w:lang w:val="en-GB"/>
        </w:rPr>
        <w:t>.</w:t>
      </w:r>
    </w:p>
    <w:p w14:paraId="0A971E0B" w14:textId="77777777" w:rsidR="00611CFF" w:rsidRPr="00462AC0" w:rsidRDefault="00611CFF" w:rsidP="0023244B">
      <w:pPr>
        <w:pStyle w:val="Lijstalinea"/>
        <w:rPr>
          <w:lang w:val="en-GB"/>
        </w:rPr>
      </w:pPr>
    </w:p>
    <w:p w14:paraId="62683A73" w14:textId="15CB1596" w:rsidR="00611CFF" w:rsidRPr="00462AC0" w:rsidRDefault="00A9204D" w:rsidP="0023244B">
      <w:pPr>
        <w:pStyle w:val="Lijstalinea"/>
        <w:rPr>
          <w:lang w:val="en-GB"/>
        </w:rPr>
      </w:pPr>
      <w:r>
        <w:rPr>
          <w:lang w:val="en-GB"/>
        </w:rPr>
        <w:t>At present</w:t>
      </w:r>
      <w:r w:rsidR="001268A9" w:rsidRPr="00462AC0">
        <w:rPr>
          <w:lang w:val="en-GB"/>
        </w:rPr>
        <w:t>, no requirement has been included</w:t>
      </w:r>
      <w:r w:rsidR="005B50A1">
        <w:rPr>
          <w:lang w:val="en-GB"/>
        </w:rPr>
        <w:t xml:space="preserve"> i</w:t>
      </w:r>
      <w:r w:rsidR="005B50A1" w:rsidRPr="005B50A1">
        <w:rPr>
          <w:lang w:val="en-GB"/>
        </w:rPr>
        <w:t>n the NWO-I policy</w:t>
      </w:r>
      <w:r w:rsidR="001268A9" w:rsidRPr="00462AC0">
        <w:rPr>
          <w:lang w:val="en-GB"/>
        </w:rPr>
        <w:t xml:space="preserve"> concerning the use of a CC-BY licence </w:t>
      </w:r>
      <w:r w:rsidR="005B50A1">
        <w:rPr>
          <w:lang w:val="en-GB"/>
        </w:rPr>
        <w:t>for</w:t>
      </w:r>
      <w:r w:rsidR="001268A9" w:rsidRPr="00462AC0">
        <w:rPr>
          <w:lang w:val="en-GB"/>
        </w:rPr>
        <w:t xml:space="preserve"> publications. </w:t>
      </w:r>
    </w:p>
    <w:sectPr w:rsidR="00611CFF" w:rsidRPr="0046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579097" w16cid:durableId="240C9868"/>
  <w16cid:commentId w16cid:paraId="3D54837A" w16cid:durableId="240D648C"/>
  <w16cid:commentId w16cid:paraId="360E8D5B" w16cid:durableId="240C9D7F"/>
  <w16cid:commentId w16cid:paraId="69F714EC" w16cid:durableId="240C9DD6"/>
  <w16cid:commentId w16cid:paraId="2DCE7964" w16cid:durableId="240CA2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3AAC"/>
    <w:multiLevelType w:val="hybridMultilevel"/>
    <w:tmpl w:val="35567DB0"/>
    <w:lvl w:ilvl="0" w:tplc="ECBED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04550" w:tentative="1">
      <w:start w:val="1"/>
      <w:numFmt w:val="lowerLetter"/>
      <w:lvlText w:val="%2."/>
      <w:lvlJc w:val="left"/>
      <w:pPr>
        <w:ind w:left="1440" w:hanging="360"/>
      </w:pPr>
    </w:lvl>
    <w:lvl w:ilvl="2" w:tplc="A222596C" w:tentative="1">
      <w:start w:val="1"/>
      <w:numFmt w:val="lowerRoman"/>
      <w:lvlText w:val="%3."/>
      <w:lvlJc w:val="right"/>
      <w:pPr>
        <w:ind w:left="2160" w:hanging="180"/>
      </w:pPr>
    </w:lvl>
    <w:lvl w:ilvl="3" w:tplc="D64CD9C0" w:tentative="1">
      <w:start w:val="1"/>
      <w:numFmt w:val="decimal"/>
      <w:lvlText w:val="%4."/>
      <w:lvlJc w:val="left"/>
      <w:pPr>
        <w:ind w:left="2880" w:hanging="360"/>
      </w:pPr>
    </w:lvl>
    <w:lvl w:ilvl="4" w:tplc="2EDAAECE" w:tentative="1">
      <w:start w:val="1"/>
      <w:numFmt w:val="lowerLetter"/>
      <w:lvlText w:val="%5."/>
      <w:lvlJc w:val="left"/>
      <w:pPr>
        <w:ind w:left="3600" w:hanging="360"/>
      </w:pPr>
    </w:lvl>
    <w:lvl w:ilvl="5" w:tplc="B6FEE3E2" w:tentative="1">
      <w:start w:val="1"/>
      <w:numFmt w:val="lowerRoman"/>
      <w:lvlText w:val="%6."/>
      <w:lvlJc w:val="right"/>
      <w:pPr>
        <w:ind w:left="4320" w:hanging="180"/>
      </w:pPr>
    </w:lvl>
    <w:lvl w:ilvl="6" w:tplc="E1C027CE" w:tentative="1">
      <w:start w:val="1"/>
      <w:numFmt w:val="decimal"/>
      <w:lvlText w:val="%7."/>
      <w:lvlJc w:val="left"/>
      <w:pPr>
        <w:ind w:left="5040" w:hanging="360"/>
      </w:pPr>
    </w:lvl>
    <w:lvl w:ilvl="7" w:tplc="86305E36" w:tentative="1">
      <w:start w:val="1"/>
      <w:numFmt w:val="lowerLetter"/>
      <w:lvlText w:val="%8."/>
      <w:lvlJc w:val="left"/>
      <w:pPr>
        <w:ind w:left="5760" w:hanging="360"/>
      </w:pPr>
    </w:lvl>
    <w:lvl w:ilvl="8" w:tplc="B33E0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31BD"/>
    <w:multiLevelType w:val="hybridMultilevel"/>
    <w:tmpl w:val="9A2E7876"/>
    <w:lvl w:ilvl="0" w:tplc="8918F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68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87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A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4C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0D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43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A3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C05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C026A4E-4637-41E2-B5D8-85D50DBB64DA}"/>
    <w:docVar w:name="dgnword-eventsink" w:val="1787622771024"/>
  </w:docVars>
  <w:rsids>
    <w:rsidRoot w:val="00A61BF3"/>
    <w:rsid w:val="000501C4"/>
    <w:rsid w:val="000512C2"/>
    <w:rsid w:val="000D4255"/>
    <w:rsid w:val="00123992"/>
    <w:rsid w:val="001268A9"/>
    <w:rsid w:val="00154602"/>
    <w:rsid w:val="002163AC"/>
    <w:rsid w:val="0023244B"/>
    <w:rsid w:val="00286654"/>
    <w:rsid w:val="002B7B0C"/>
    <w:rsid w:val="002F25A3"/>
    <w:rsid w:val="00301C70"/>
    <w:rsid w:val="003529C3"/>
    <w:rsid w:val="00374DF9"/>
    <w:rsid w:val="0039550C"/>
    <w:rsid w:val="003E24BD"/>
    <w:rsid w:val="004177AB"/>
    <w:rsid w:val="00462AC0"/>
    <w:rsid w:val="004C52C6"/>
    <w:rsid w:val="004D5724"/>
    <w:rsid w:val="005066F7"/>
    <w:rsid w:val="005B50A1"/>
    <w:rsid w:val="00611CFF"/>
    <w:rsid w:val="0063658C"/>
    <w:rsid w:val="00653460"/>
    <w:rsid w:val="0066325F"/>
    <w:rsid w:val="006C122B"/>
    <w:rsid w:val="006D7FDF"/>
    <w:rsid w:val="00746667"/>
    <w:rsid w:val="008234E6"/>
    <w:rsid w:val="00847CA2"/>
    <w:rsid w:val="008936F7"/>
    <w:rsid w:val="008A7AB6"/>
    <w:rsid w:val="008C7F65"/>
    <w:rsid w:val="008E4FB1"/>
    <w:rsid w:val="00915ED7"/>
    <w:rsid w:val="00943E50"/>
    <w:rsid w:val="00965832"/>
    <w:rsid w:val="00966C63"/>
    <w:rsid w:val="0096792D"/>
    <w:rsid w:val="00977F97"/>
    <w:rsid w:val="009A3261"/>
    <w:rsid w:val="009D6F20"/>
    <w:rsid w:val="00A074FE"/>
    <w:rsid w:val="00A55F87"/>
    <w:rsid w:val="00A61BF3"/>
    <w:rsid w:val="00A9204D"/>
    <w:rsid w:val="00AA508D"/>
    <w:rsid w:val="00AE0AC0"/>
    <w:rsid w:val="00AE782C"/>
    <w:rsid w:val="00AE78EB"/>
    <w:rsid w:val="00B07974"/>
    <w:rsid w:val="00B41E6E"/>
    <w:rsid w:val="00B760CF"/>
    <w:rsid w:val="00B83CE6"/>
    <w:rsid w:val="00BE29EF"/>
    <w:rsid w:val="00BE303D"/>
    <w:rsid w:val="00C86203"/>
    <w:rsid w:val="00CC46A3"/>
    <w:rsid w:val="00D164D8"/>
    <w:rsid w:val="00D662A7"/>
    <w:rsid w:val="00D74DD6"/>
    <w:rsid w:val="00D92190"/>
    <w:rsid w:val="00D958A8"/>
    <w:rsid w:val="00E13F92"/>
    <w:rsid w:val="00E5245C"/>
    <w:rsid w:val="00E569E1"/>
    <w:rsid w:val="00E7509C"/>
    <w:rsid w:val="00EF79DB"/>
    <w:rsid w:val="00F25BB2"/>
    <w:rsid w:val="00F300FE"/>
    <w:rsid w:val="00F31B40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D4F9"/>
  <w15:chartTrackingRefBased/>
  <w15:docId w15:val="{000F5E34-80B2-4674-B16A-61A41454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61B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C2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1B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61BF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11CF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1CF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1CF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1CF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1CF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CFF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FC2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e">
    <w:name w:val="Revision"/>
    <w:hidden/>
    <w:uiPriority w:val="99"/>
    <w:semiHidden/>
    <w:rsid w:val="0028665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AE7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wo.nl/en/open-access-publis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Mout, J. [Jacqueline]</dc:creator>
  <cp:lastModifiedBy>Mout, J. [Jacqueline]</cp:lastModifiedBy>
  <cp:revision>3</cp:revision>
  <dcterms:created xsi:type="dcterms:W3CDTF">2021-06-28T11:40:00Z</dcterms:created>
  <dcterms:modified xsi:type="dcterms:W3CDTF">2021-06-28T11:42:00Z</dcterms:modified>
</cp:coreProperties>
</file>